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345CE" w14:textId="77777777" w:rsidR="000801FE" w:rsidRPr="000801FE" w:rsidRDefault="000801FE" w:rsidP="000801FE">
      <w:pPr>
        <w:jc w:val="center"/>
        <w:rPr>
          <w:rFonts w:ascii="Arial" w:hAnsi="Arial" w:cs="Arial"/>
          <w:b/>
          <w:bCs/>
          <w:color w:val="000000" w:themeColor="text1"/>
        </w:rPr>
      </w:pPr>
      <w:r w:rsidRPr="000801FE">
        <w:rPr>
          <w:rFonts w:ascii="Arial" w:hAnsi="Arial" w:cs="Arial"/>
          <w:b/>
          <w:bCs/>
          <w:color w:val="000000" w:themeColor="text1"/>
        </w:rPr>
        <w:t>Informe Pertenencia Sociolingüística</w:t>
      </w:r>
    </w:p>
    <w:p w14:paraId="78C9E9BE" w14:textId="7E6759EB" w:rsidR="000801FE" w:rsidRPr="000801FE" w:rsidRDefault="002E1CAE" w:rsidP="000801FE">
      <w:pPr>
        <w:jc w:val="center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MARZO</w:t>
      </w:r>
      <w:r w:rsidR="000801FE" w:rsidRPr="000801FE">
        <w:rPr>
          <w:rFonts w:ascii="Arial" w:hAnsi="Arial" w:cs="Arial"/>
          <w:b/>
          <w:bCs/>
          <w:color w:val="000000" w:themeColor="text1"/>
        </w:rPr>
        <w:t>, 2022</w:t>
      </w:r>
    </w:p>
    <w:p w14:paraId="75190C3D" w14:textId="77777777" w:rsidR="000801FE" w:rsidRPr="000801FE" w:rsidRDefault="000801FE" w:rsidP="000801FE">
      <w:pPr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</w:rPr>
      </w:pPr>
    </w:p>
    <w:p w14:paraId="1F23B49A" w14:textId="77777777" w:rsidR="000801FE" w:rsidRPr="000801FE" w:rsidRDefault="000801FE" w:rsidP="000801FE">
      <w:pPr>
        <w:jc w:val="both"/>
        <w:rPr>
          <w:rFonts w:ascii="Arial" w:hAnsi="Arial" w:cs="Arial"/>
          <w:color w:val="000000" w:themeColor="text1"/>
        </w:rPr>
      </w:pPr>
      <w:r w:rsidRPr="000801FE">
        <w:rPr>
          <w:rFonts w:ascii="Arial" w:hAnsi="Arial" w:cs="Arial"/>
          <w:color w:val="000000" w:themeColor="text1"/>
        </w:rPr>
        <w:t>La Ley de Acceso a la Información Pública Decreto 57-2008 en el capítulo segundo “OBLIGACIONES DE TRANSPARENCIA” establece en el artículo 10 la información pública de oficio, la cual consiste en que los sujetos obligados deberán mantener, actualizada y disponible, en todo momento, de acuerdo con sus funciones y a disposición de cualquier interesado, como mínimo la información regulada en dicho artículo para que pueda ser consultada de manera directa o a través de los portales electrónicos de cada sujeto obligado.</w:t>
      </w:r>
    </w:p>
    <w:p w14:paraId="37D43BD5" w14:textId="77777777" w:rsidR="000801FE" w:rsidRPr="000801FE" w:rsidRDefault="000801FE" w:rsidP="000801FE">
      <w:pPr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</w:rPr>
      </w:pPr>
    </w:p>
    <w:p w14:paraId="64082395" w14:textId="77777777" w:rsidR="000801FE" w:rsidRPr="000801FE" w:rsidRDefault="000801FE" w:rsidP="000801FE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0801FE">
        <w:rPr>
          <w:rFonts w:ascii="Arial" w:hAnsi="Arial" w:cs="Arial"/>
          <w:color w:val="000000" w:themeColor="text1"/>
        </w:rPr>
        <w:t>Se elabora el presente Informe sobre pertenencia Sociolingüística para dar cumplimiento al numeral 28. Que establece que las entidades e instituciones del Estado deberán mantener informe actualizado sobre los datos relacionados con la pertenencia sociolingüística de los usuarios de sus servicios, a efecto de adecuar la prestación de los mismos;</w:t>
      </w:r>
    </w:p>
    <w:p w14:paraId="2749F6BA" w14:textId="77777777" w:rsidR="000801FE" w:rsidRPr="000801FE" w:rsidRDefault="000801FE" w:rsidP="000801FE">
      <w:pPr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</w:rPr>
      </w:pPr>
    </w:p>
    <w:p w14:paraId="5B8B111D" w14:textId="77777777" w:rsidR="000801FE" w:rsidRPr="000801FE" w:rsidRDefault="000801FE" w:rsidP="000801FE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0801FE">
        <w:rPr>
          <w:rFonts w:ascii="Arial" w:hAnsi="Arial" w:cs="Arial"/>
          <w:color w:val="000000" w:themeColor="text1"/>
        </w:rPr>
        <w:t xml:space="preserve">Esto es en referencia a la vigencia del Decreto No. 19-2013, el cual tiene por objeto regular el reconocimiento, respeto, promoción, desarrollo y utilización de los idiomas de los pueblos Mayas, Garífuna y Xinka en Guatemala. Se prevé la difusión de información en estos idiomas, así como la facilitación del acceso a los servicios públicos mediante la información y atención en el idioma propio de la población. </w:t>
      </w:r>
    </w:p>
    <w:p w14:paraId="011C73AF" w14:textId="77777777" w:rsidR="000801FE" w:rsidRPr="000801FE" w:rsidRDefault="000801FE" w:rsidP="000801FE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</w:p>
    <w:p w14:paraId="3B8EB480" w14:textId="77777777" w:rsidR="000801FE" w:rsidRPr="000801FE" w:rsidRDefault="000801FE" w:rsidP="000801FE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0801FE">
        <w:rPr>
          <w:rFonts w:ascii="Arial" w:hAnsi="Arial" w:cs="Arial"/>
          <w:color w:val="000000" w:themeColor="text1"/>
        </w:rPr>
        <w:t>Y la Dirección Superior por ser sujeto obligado como lo establece la Ley de Acceso a la Información Pública, debe proporcionar el resultado periódico de los registros estadísticos relacionados con la prestación de servicios, tomando como referencia los siguientes artículos de la Ley de Idiomas Nacionales:</w:t>
      </w:r>
    </w:p>
    <w:p w14:paraId="6CAF679E" w14:textId="77777777" w:rsidR="000801FE" w:rsidRPr="000801FE" w:rsidRDefault="000801FE" w:rsidP="000801FE">
      <w:pPr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</w:rPr>
      </w:pPr>
      <w:r w:rsidRPr="000801FE">
        <w:rPr>
          <w:rFonts w:ascii="Arial" w:hAnsi="Arial" w:cs="Arial"/>
          <w:color w:val="000000" w:themeColor="text1"/>
        </w:rPr>
        <w:t xml:space="preserve"> </w:t>
      </w:r>
    </w:p>
    <w:p w14:paraId="20270AE4" w14:textId="77777777" w:rsidR="000801FE" w:rsidRPr="000801FE" w:rsidRDefault="000801FE" w:rsidP="000801FE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0801FE">
        <w:rPr>
          <w:rFonts w:ascii="Arial" w:hAnsi="Arial" w:cs="Arial"/>
          <w:color w:val="000000" w:themeColor="text1"/>
        </w:rPr>
        <w:t xml:space="preserve">Artículo 10. Estadísticas </w:t>
      </w:r>
    </w:p>
    <w:p w14:paraId="14D99549" w14:textId="77777777" w:rsidR="000801FE" w:rsidRPr="000801FE" w:rsidRDefault="000801FE" w:rsidP="000801FE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0801FE">
        <w:rPr>
          <w:rFonts w:ascii="Arial" w:hAnsi="Arial" w:cs="Arial"/>
          <w:color w:val="000000" w:themeColor="text1"/>
        </w:rPr>
        <w:t>Las entidades e instituciones del Estado deberán llevar registros, actualizar y reportar datos sobre la pertenencia sociolingüística de los usuarios de sus servicios, a efecto de adecuar la prestación de los mismos.</w:t>
      </w:r>
    </w:p>
    <w:p w14:paraId="7A40DDCB" w14:textId="77777777" w:rsidR="000801FE" w:rsidRPr="000801FE" w:rsidRDefault="000801FE" w:rsidP="000801FE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</w:p>
    <w:p w14:paraId="2589B181" w14:textId="77777777" w:rsidR="000801FE" w:rsidRPr="000801FE" w:rsidRDefault="000801FE" w:rsidP="000801FE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0801FE">
        <w:rPr>
          <w:rFonts w:ascii="Arial" w:hAnsi="Arial" w:cs="Arial"/>
          <w:color w:val="000000" w:themeColor="text1"/>
        </w:rPr>
        <w:t>Artículo 14. Prestación de servicios</w:t>
      </w:r>
    </w:p>
    <w:p w14:paraId="2E6B65F9" w14:textId="77777777" w:rsidR="000801FE" w:rsidRPr="000801FE" w:rsidRDefault="000801FE" w:rsidP="000801FE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0801FE">
        <w:rPr>
          <w:rFonts w:ascii="Arial" w:hAnsi="Arial" w:cs="Arial"/>
          <w:color w:val="000000" w:themeColor="text1"/>
        </w:rPr>
        <w:t>El estado velará por que en la prestación de bienes y servicios públicos se observe la práctica de comunicación en el idioma propio de la comunidad lingüística, sin menoscabo de la incorporación gradual de los demás servicios, a los términos de esta disposición.</w:t>
      </w:r>
    </w:p>
    <w:p w14:paraId="6933DF91" w14:textId="77777777" w:rsidR="000801FE" w:rsidRPr="000801FE" w:rsidRDefault="000801FE" w:rsidP="000801FE">
      <w:pPr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</w:rPr>
      </w:pPr>
    </w:p>
    <w:p w14:paraId="06149CEA" w14:textId="77777777" w:rsidR="000801FE" w:rsidRPr="000801FE" w:rsidRDefault="000801FE" w:rsidP="000801FE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0801FE">
        <w:rPr>
          <w:rFonts w:ascii="Arial" w:hAnsi="Arial" w:cs="Arial"/>
          <w:color w:val="000000" w:themeColor="text1"/>
        </w:rPr>
        <w:t>Artículo 15. De los servicios públicos</w:t>
      </w:r>
    </w:p>
    <w:p w14:paraId="5FD46B50" w14:textId="77777777" w:rsidR="000801FE" w:rsidRPr="000801FE" w:rsidRDefault="000801FE" w:rsidP="000801FE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0801FE">
        <w:rPr>
          <w:rFonts w:ascii="Arial" w:hAnsi="Arial" w:cs="Arial"/>
          <w:color w:val="000000" w:themeColor="text1"/>
        </w:rPr>
        <w:t>Facilitar el acceso a los servicios de salud, educación, justicia, seguridad, como sectores prioritarios, para los cuales la población deberá ser informada y atendida en el idioma propio de cada comunidad lingüística, sin menoscabo de la incorporación gradual de los demás servicios, a los términos de esta disposición.</w:t>
      </w:r>
    </w:p>
    <w:p w14:paraId="34F4FBCB" w14:textId="77777777" w:rsidR="000801FE" w:rsidRPr="000801FE" w:rsidRDefault="000801FE" w:rsidP="000801FE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</w:p>
    <w:p w14:paraId="356C6108" w14:textId="77777777" w:rsidR="000801FE" w:rsidRPr="000801FE" w:rsidRDefault="000801FE" w:rsidP="000801FE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0801FE">
        <w:rPr>
          <w:rFonts w:ascii="Arial" w:hAnsi="Arial" w:cs="Arial"/>
          <w:color w:val="000000" w:themeColor="text1"/>
        </w:rPr>
        <w:t>Artículo 18. Utilización en actos públicos</w:t>
      </w:r>
    </w:p>
    <w:p w14:paraId="19D331EC" w14:textId="77777777" w:rsidR="000801FE" w:rsidRPr="000801FE" w:rsidRDefault="000801FE" w:rsidP="000801FE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0801FE">
        <w:rPr>
          <w:rFonts w:ascii="Arial" w:hAnsi="Arial" w:cs="Arial"/>
          <w:color w:val="000000" w:themeColor="text1"/>
        </w:rPr>
        <w:t xml:space="preserve">El Estado a través de sus instituciones, utilizará los idiomas Mayas, Garífuna y Xinka en los actos cívicos, protocolarios, culturales. </w:t>
      </w:r>
    </w:p>
    <w:p w14:paraId="69617CFD" w14:textId="5C04D5D1" w:rsidR="000801FE" w:rsidRPr="000801FE" w:rsidRDefault="000801FE" w:rsidP="000801FE">
      <w:pPr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</w:rPr>
      </w:pPr>
    </w:p>
    <w:p w14:paraId="5F34ED9B" w14:textId="77777777" w:rsidR="000801FE" w:rsidRPr="000801FE" w:rsidRDefault="000801FE" w:rsidP="000801FE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0801FE">
        <w:rPr>
          <w:rFonts w:ascii="Arial" w:hAnsi="Arial" w:cs="Arial"/>
          <w:color w:val="000000" w:themeColor="text1"/>
        </w:rPr>
        <w:t>Artículo 25. Capacitación lingüística</w:t>
      </w:r>
    </w:p>
    <w:p w14:paraId="6F1B5915" w14:textId="49A90FBC" w:rsidR="00F33D35" w:rsidRDefault="000801FE" w:rsidP="00F33D35">
      <w:pPr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color w:val="000000" w:themeColor="text1"/>
          <w:sz w:val="28"/>
          <w:szCs w:val="28"/>
        </w:rPr>
      </w:pPr>
      <w:r w:rsidRPr="000801FE">
        <w:rPr>
          <w:rFonts w:ascii="Arial" w:hAnsi="Arial" w:cs="Arial"/>
          <w:color w:val="000000" w:themeColor="text1"/>
        </w:rPr>
        <w:t xml:space="preserve">El Estado de Guatemala, a través de sus entidades, en coordinación con la Academia de las Lenguas Mayas de Guatemala, deberá dar capacitación lingüística al personal que presta servicio público en las comunidades lingüísticas. </w:t>
      </w:r>
      <w:bookmarkStart w:id="0" w:name="_Hlk94707853"/>
      <w:bookmarkStart w:id="1" w:name="_Hlk60750442"/>
      <w:r w:rsidR="00F33D35">
        <w:rPr>
          <w:rFonts w:ascii="Arial" w:eastAsia="Times New Roman" w:hAnsi="Arial" w:cs="Arial"/>
          <w:b/>
          <w:color w:val="000000" w:themeColor="text1"/>
          <w:sz w:val="28"/>
          <w:szCs w:val="28"/>
        </w:rPr>
        <w:br w:type="page"/>
      </w:r>
    </w:p>
    <w:p w14:paraId="64410948" w14:textId="5AC4F69C" w:rsidR="000F534E" w:rsidRPr="00FA359C" w:rsidRDefault="002E1CAE" w:rsidP="000F534E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  <w:sz w:val="28"/>
          <w:szCs w:val="28"/>
        </w:rPr>
      </w:pPr>
      <w:r>
        <w:rPr>
          <w:rFonts w:ascii="Arial" w:eastAsia="Times New Roman" w:hAnsi="Arial" w:cs="Arial"/>
          <w:b/>
          <w:color w:val="000000" w:themeColor="text1"/>
          <w:sz w:val="28"/>
          <w:szCs w:val="28"/>
        </w:rPr>
        <w:lastRenderedPageBreak/>
        <w:t>MARZO</w:t>
      </w:r>
      <w:r w:rsidR="00ED0421" w:rsidRPr="00FA359C">
        <w:rPr>
          <w:rFonts w:ascii="Arial" w:eastAsia="Times New Roman" w:hAnsi="Arial" w:cs="Arial"/>
          <w:b/>
          <w:color w:val="000000" w:themeColor="text1"/>
          <w:sz w:val="28"/>
          <w:szCs w:val="28"/>
        </w:rPr>
        <w:t xml:space="preserve"> </w:t>
      </w:r>
      <w:r w:rsidR="000F534E" w:rsidRPr="00FA359C">
        <w:rPr>
          <w:rFonts w:ascii="Arial" w:eastAsia="Times New Roman" w:hAnsi="Arial" w:cs="Arial"/>
          <w:b/>
          <w:color w:val="000000" w:themeColor="text1"/>
          <w:sz w:val="28"/>
          <w:szCs w:val="28"/>
        </w:rPr>
        <w:t>202</w:t>
      </w:r>
      <w:r w:rsidR="004F3988">
        <w:rPr>
          <w:rFonts w:ascii="Arial" w:eastAsia="Times New Roman" w:hAnsi="Arial" w:cs="Arial"/>
          <w:b/>
          <w:color w:val="000000" w:themeColor="text1"/>
          <w:sz w:val="28"/>
          <w:szCs w:val="28"/>
        </w:rPr>
        <w:t>2</w:t>
      </w:r>
    </w:p>
    <w:bookmarkEnd w:id="0"/>
    <w:p w14:paraId="2E0E052B" w14:textId="77777777" w:rsidR="000F534E" w:rsidRDefault="000F534E" w:rsidP="000F534E">
      <w:pPr>
        <w:tabs>
          <w:tab w:val="left" w:pos="195"/>
        </w:tabs>
        <w:jc w:val="right"/>
        <w:rPr>
          <w:rFonts w:ascii="Arial" w:eastAsia="Times New Roman" w:hAnsi="Arial" w:cs="Arial"/>
          <w:b/>
          <w:color w:val="000000" w:themeColor="text1"/>
        </w:rPr>
      </w:pPr>
    </w:p>
    <w:p w14:paraId="6AE91FAE" w14:textId="77777777" w:rsidR="000F534E" w:rsidRDefault="000F534E" w:rsidP="000F534E">
      <w:pPr>
        <w:tabs>
          <w:tab w:val="left" w:pos="195"/>
        </w:tabs>
        <w:jc w:val="right"/>
        <w:rPr>
          <w:rFonts w:ascii="Arial" w:eastAsia="Times New Roman" w:hAnsi="Arial" w:cs="Arial"/>
          <w:b/>
          <w:color w:val="000000" w:themeColor="text1"/>
        </w:rPr>
      </w:pPr>
    </w:p>
    <w:p w14:paraId="0C7146FB" w14:textId="77777777" w:rsidR="000F534E" w:rsidRDefault="000F534E" w:rsidP="000F534E">
      <w:pPr>
        <w:tabs>
          <w:tab w:val="left" w:pos="195"/>
        </w:tabs>
        <w:jc w:val="right"/>
        <w:rPr>
          <w:rFonts w:ascii="Arial" w:hAnsi="Arial" w:cs="Arial"/>
          <w:b/>
          <w:color w:val="000000" w:themeColor="text1"/>
          <w:sz w:val="40"/>
        </w:rPr>
      </w:pPr>
    </w:p>
    <w:p w14:paraId="70BCCCE5" w14:textId="604B6E96" w:rsidR="000F534E" w:rsidRPr="00634262" w:rsidRDefault="000F534E" w:rsidP="000F534E">
      <w:pPr>
        <w:spacing w:after="150"/>
        <w:contextualSpacing/>
        <w:outlineLvl w:val="1"/>
        <w:rPr>
          <w:rFonts w:ascii="Arial" w:eastAsia="Times New Roman" w:hAnsi="Arial" w:cs="Arial"/>
          <w:b/>
          <w:bCs/>
          <w:color w:val="000000" w:themeColor="text1"/>
        </w:rPr>
      </w:pPr>
      <w:r w:rsidRPr="00634262">
        <w:rPr>
          <w:rFonts w:ascii="Arial" w:eastAsia="Times New Roman" w:hAnsi="Arial" w:cs="Arial"/>
          <w:b/>
          <w:bCs/>
          <w:color w:val="000000" w:themeColor="text1"/>
        </w:rPr>
        <w:t>Articulo</w:t>
      </w:r>
      <w:r w:rsidR="00634262">
        <w:rPr>
          <w:rFonts w:ascii="Arial" w:eastAsia="Times New Roman" w:hAnsi="Arial" w:cs="Arial"/>
          <w:b/>
          <w:bCs/>
          <w:color w:val="000000" w:themeColor="text1"/>
        </w:rPr>
        <w:t xml:space="preserve"> </w:t>
      </w:r>
      <w:r w:rsidRPr="00634262">
        <w:rPr>
          <w:rFonts w:ascii="Arial" w:eastAsia="Times New Roman" w:hAnsi="Arial" w:cs="Arial"/>
          <w:b/>
          <w:bCs/>
          <w:color w:val="000000" w:themeColor="text1"/>
        </w:rPr>
        <w:t>10</w:t>
      </w:r>
    </w:p>
    <w:p w14:paraId="160D527F" w14:textId="77777777" w:rsidR="000F534E" w:rsidRPr="00634262" w:rsidRDefault="000F534E" w:rsidP="000F534E">
      <w:pPr>
        <w:spacing w:after="150"/>
        <w:contextualSpacing/>
        <w:outlineLvl w:val="1"/>
        <w:rPr>
          <w:rFonts w:ascii="Arial" w:eastAsia="Times New Roman" w:hAnsi="Arial" w:cs="Arial"/>
          <w:b/>
          <w:bCs/>
          <w:color w:val="000000" w:themeColor="text1"/>
        </w:rPr>
      </w:pPr>
      <w:r w:rsidRPr="00634262">
        <w:rPr>
          <w:rFonts w:ascii="Arial" w:eastAsia="Times New Roman" w:hAnsi="Arial" w:cs="Arial"/>
          <w:b/>
          <w:bCs/>
          <w:color w:val="000000" w:themeColor="text1"/>
        </w:rPr>
        <w:t>Numeral 28</w:t>
      </w:r>
    </w:p>
    <w:p w14:paraId="18229BCB" w14:textId="77777777" w:rsidR="000F534E" w:rsidRDefault="000F534E" w:rsidP="000F534E">
      <w:pPr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Ley de Acceso a la Información Pública</w:t>
      </w:r>
    </w:p>
    <w:p w14:paraId="02BF836E" w14:textId="77777777" w:rsidR="000F534E" w:rsidRPr="006A4583" w:rsidRDefault="000F534E" w:rsidP="000F534E">
      <w:pPr>
        <w:rPr>
          <w:rFonts w:ascii="Arial" w:hAnsi="Arial" w:cs="Arial"/>
          <w:b/>
          <w:color w:val="000000" w:themeColor="text1"/>
          <w:sz w:val="44"/>
        </w:rPr>
      </w:pPr>
    </w:p>
    <w:p w14:paraId="0821CDC9" w14:textId="77777777" w:rsidR="000F534E" w:rsidRPr="00FA359C" w:rsidRDefault="000F534E" w:rsidP="000F534E">
      <w:pPr>
        <w:jc w:val="center"/>
        <w:rPr>
          <w:rFonts w:ascii="Arial" w:hAnsi="Arial" w:cs="Arial"/>
          <w:b/>
          <w:color w:val="000000" w:themeColor="text1"/>
          <w:sz w:val="36"/>
          <w:szCs w:val="36"/>
        </w:rPr>
      </w:pPr>
      <w:r w:rsidRPr="00FA359C">
        <w:rPr>
          <w:rFonts w:ascii="Arial" w:hAnsi="Arial" w:cs="Arial"/>
          <w:b/>
          <w:color w:val="000000" w:themeColor="text1"/>
          <w:sz w:val="36"/>
          <w:szCs w:val="36"/>
        </w:rPr>
        <w:t xml:space="preserve">Pertenencia Sociolingüística </w:t>
      </w:r>
    </w:p>
    <w:p w14:paraId="13E03BB1" w14:textId="77777777" w:rsidR="000F534E" w:rsidRPr="00A11DD3" w:rsidRDefault="000F534E" w:rsidP="000F534E">
      <w:pPr>
        <w:jc w:val="both"/>
        <w:rPr>
          <w:rFonts w:ascii="Arial" w:hAnsi="Arial" w:cs="Arial"/>
          <w:b/>
          <w:color w:val="000000" w:themeColor="text1"/>
        </w:rPr>
      </w:pPr>
    </w:p>
    <w:p w14:paraId="1C5EAB18" w14:textId="77777777" w:rsidR="000F534E" w:rsidRDefault="000F534E" w:rsidP="000F534E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Las entidades e instituciones del Estado deberán mantener informe actualizado sobre los datos relacionados con la pertenencia sociolingüística de los usuarios de sus servicios, a efecto de adecuar la prestación de los mismos</w:t>
      </w:r>
      <w:r w:rsidRPr="00A11DD3">
        <w:rPr>
          <w:rFonts w:ascii="Arial" w:hAnsi="Arial" w:cs="Arial"/>
          <w:color w:val="000000" w:themeColor="text1"/>
        </w:rPr>
        <w:t>.</w:t>
      </w:r>
    </w:p>
    <w:p w14:paraId="76D66BFA" w14:textId="77777777" w:rsidR="000F534E" w:rsidRPr="00A11DD3" w:rsidRDefault="000F534E" w:rsidP="000F534E">
      <w:pPr>
        <w:jc w:val="both"/>
        <w:rPr>
          <w:rFonts w:ascii="Arial" w:hAnsi="Arial" w:cs="Arial"/>
          <w:color w:val="000000" w:themeColor="text1"/>
          <w:sz w:val="32"/>
        </w:rPr>
      </w:pPr>
    </w:p>
    <w:p w14:paraId="1AF95D7B" w14:textId="1D772E68" w:rsidR="000F534E" w:rsidRDefault="000F534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>Durante el mes d</w:t>
      </w:r>
      <w:r w:rsidR="0067106D">
        <w:rPr>
          <w:rFonts w:ascii="Arial" w:hAnsi="Arial" w:cs="Arial"/>
          <w:b/>
          <w:color w:val="000000" w:themeColor="text1"/>
          <w:sz w:val="32"/>
        </w:rPr>
        <w:t xml:space="preserve">e </w:t>
      </w:r>
      <w:r w:rsidR="002E1CAE">
        <w:rPr>
          <w:rFonts w:ascii="Arial" w:hAnsi="Arial" w:cs="Arial"/>
          <w:b/>
          <w:color w:val="000000" w:themeColor="text1"/>
          <w:sz w:val="32"/>
        </w:rPr>
        <w:t>MARZO</w:t>
      </w:r>
      <w:r w:rsidR="004F3988" w:rsidRPr="004F3988">
        <w:rPr>
          <w:rFonts w:ascii="Arial" w:hAnsi="Arial" w:cs="Arial"/>
          <w:b/>
          <w:color w:val="000000" w:themeColor="text1"/>
          <w:sz w:val="32"/>
        </w:rPr>
        <w:t xml:space="preserve"> 2022</w:t>
      </w:r>
      <w:r>
        <w:rPr>
          <w:rFonts w:ascii="Arial" w:hAnsi="Arial" w:cs="Arial"/>
          <w:b/>
          <w:color w:val="000000" w:themeColor="text1"/>
          <w:sz w:val="32"/>
        </w:rPr>
        <w:t xml:space="preserve">, todas las solicitudes </w:t>
      </w:r>
      <w:r w:rsidR="00305B04">
        <w:rPr>
          <w:rFonts w:ascii="Arial" w:hAnsi="Arial" w:cs="Arial"/>
          <w:b/>
          <w:color w:val="000000" w:themeColor="text1"/>
          <w:sz w:val="32"/>
        </w:rPr>
        <w:t xml:space="preserve">y tramites </w:t>
      </w:r>
      <w:r w:rsidR="00982EFC">
        <w:rPr>
          <w:rFonts w:ascii="Arial" w:hAnsi="Arial" w:cs="Arial"/>
          <w:b/>
          <w:color w:val="000000" w:themeColor="text1"/>
          <w:sz w:val="32"/>
        </w:rPr>
        <w:t xml:space="preserve">de </w:t>
      </w:r>
      <w:r w:rsidR="00305B04">
        <w:rPr>
          <w:rFonts w:ascii="Arial" w:hAnsi="Arial" w:cs="Arial"/>
          <w:b/>
          <w:color w:val="000000" w:themeColor="text1"/>
          <w:sz w:val="32"/>
        </w:rPr>
        <w:t xml:space="preserve">la dirección, unidades y departamentos </w:t>
      </w:r>
      <w:r>
        <w:rPr>
          <w:rFonts w:ascii="Arial" w:hAnsi="Arial" w:cs="Arial"/>
          <w:b/>
          <w:color w:val="000000" w:themeColor="text1"/>
          <w:sz w:val="32"/>
        </w:rPr>
        <w:t xml:space="preserve">que </w:t>
      </w:r>
      <w:r w:rsidR="00982EFC">
        <w:rPr>
          <w:rFonts w:ascii="Arial" w:hAnsi="Arial" w:cs="Arial"/>
          <w:b/>
          <w:color w:val="000000" w:themeColor="text1"/>
          <w:sz w:val="32"/>
        </w:rPr>
        <w:t>conoce</w:t>
      </w:r>
      <w:r>
        <w:rPr>
          <w:rFonts w:ascii="Arial" w:hAnsi="Arial" w:cs="Arial"/>
          <w:b/>
          <w:color w:val="000000" w:themeColor="text1"/>
          <w:sz w:val="32"/>
        </w:rPr>
        <w:t xml:space="preserve"> la Dirección General de Transportes fueron ingresadas</w:t>
      </w:r>
      <w:r w:rsidR="00982EFC">
        <w:rPr>
          <w:rFonts w:ascii="Arial" w:hAnsi="Arial" w:cs="Arial"/>
          <w:b/>
          <w:color w:val="000000" w:themeColor="text1"/>
          <w:sz w:val="32"/>
        </w:rPr>
        <w:t xml:space="preserve"> y diligenciados</w:t>
      </w:r>
      <w:r>
        <w:rPr>
          <w:rFonts w:ascii="Arial" w:hAnsi="Arial" w:cs="Arial"/>
          <w:b/>
          <w:color w:val="000000" w:themeColor="text1"/>
          <w:sz w:val="32"/>
        </w:rPr>
        <w:t xml:space="preserve"> en idioma </w:t>
      </w:r>
      <w:r w:rsidR="0067106D">
        <w:rPr>
          <w:rFonts w:ascii="Arial" w:hAnsi="Arial" w:cs="Arial"/>
          <w:b/>
          <w:color w:val="000000" w:themeColor="text1"/>
          <w:sz w:val="32"/>
        </w:rPr>
        <w:t>e</w:t>
      </w:r>
      <w:r w:rsidR="00982EFC">
        <w:rPr>
          <w:rFonts w:ascii="Arial" w:hAnsi="Arial" w:cs="Arial"/>
          <w:b/>
          <w:color w:val="000000" w:themeColor="text1"/>
          <w:sz w:val="32"/>
        </w:rPr>
        <w:t>spañol</w:t>
      </w:r>
      <w:r>
        <w:rPr>
          <w:rFonts w:ascii="Arial" w:hAnsi="Arial" w:cs="Arial"/>
          <w:b/>
          <w:color w:val="000000" w:themeColor="text1"/>
          <w:sz w:val="32"/>
        </w:rPr>
        <w:t>,</w:t>
      </w:r>
    </w:p>
    <w:p w14:paraId="6B83F918" w14:textId="0B8B60C4" w:rsidR="000F534E" w:rsidRDefault="000F534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7D0BFE70" w14:textId="77777777" w:rsidR="00020295" w:rsidRDefault="00020295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668D3058" w14:textId="324B45B4" w:rsidR="00542FE0" w:rsidRDefault="00982EFC" w:rsidP="00305B04">
      <w:pPr>
        <w:jc w:val="center"/>
        <w:rPr>
          <w:sz w:val="32"/>
        </w:rPr>
      </w:pPr>
      <w:r>
        <w:rPr>
          <w:noProof/>
          <w:lang w:eastAsia="es-GT"/>
        </w:rPr>
        <w:drawing>
          <wp:inline distT="0" distB="0" distL="0" distR="0" wp14:anchorId="624F4918" wp14:editId="3B42B52C">
            <wp:extent cx="4929188" cy="3290888"/>
            <wp:effectExtent l="0" t="0" r="5080" b="5080"/>
            <wp:docPr id="2" name="Gráfico 2">
              <a:extLst xmlns:a="http://schemas.openxmlformats.org/drawingml/2006/main">
                <a:ext uri="{FF2B5EF4-FFF2-40B4-BE49-F238E27FC236}">
                  <a16:creationId xmlns:a16="http://schemas.microsoft.com/office/drawing/2014/main" id="{AF3161C6-B8E2-4616-9B74-A6BA4B738C6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bookmarkEnd w:id="1"/>
    </w:p>
    <w:sectPr w:rsidR="00542FE0" w:rsidSect="00F33D35">
      <w:headerReference w:type="default" r:id="rId7"/>
      <w:pgSz w:w="12240" w:h="18700"/>
      <w:pgMar w:top="2127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F8051" w14:textId="77777777" w:rsidR="009029B1" w:rsidRDefault="009029B1" w:rsidP="00BB4EF7">
      <w:r>
        <w:separator/>
      </w:r>
    </w:p>
  </w:endnote>
  <w:endnote w:type="continuationSeparator" w:id="0">
    <w:p w14:paraId="0E1F8F97" w14:textId="77777777" w:rsidR="009029B1" w:rsidRDefault="009029B1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15FAE" w14:textId="77777777" w:rsidR="009029B1" w:rsidRDefault="009029B1" w:rsidP="00BB4EF7">
      <w:r>
        <w:separator/>
      </w:r>
    </w:p>
  </w:footnote>
  <w:footnote w:type="continuationSeparator" w:id="0">
    <w:p w14:paraId="4B0729AD" w14:textId="77777777" w:rsidR="009029B1" w:rsidRDefault="009029B1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523B8" w14:textId="5902A5D7" w:rsidR="00F33D35" w:rsidRPr="00F33D35" w:rsidRDefault="00F33D35" w:rsidP="00F33D35">
    <w:pPr>
      <w:rPr>
        <w:rFonts w:ascii="Calibri" w:eastAsia="Times New Roman" w:hAnsi="Calibri" w:cs="Calibri"/>
        <w:b/>
        <w:bCs/>
        <w:color w:val="FFFFFF"/>
        <w:sz w:val="22"/>
        <w:szCs w:val="22"/>
        <w:lang w:eastAsia="es-GT"/>
      </w:rPr>
    </w:pPr>
    <w:r>
      <w:rPr>
        <w:noProof/>
        <w:lang w:val="es-ES"/>
      </w:rPr>
      <w:drawing>
        <wp:anchor distT="0" distB="0" distL="114300" distR="114300" simplePos="0" relativeHeight="251659264" behindDoc="0" locked="0" layoutInCell="1" allowOverlap="1" wp14:anchorId="342B0532" wp14:editId="64D45159">
          <wp:simplePos x="0" y="0"/>
          <wp:positionH relativeFrom="page">
            <wp:align>right</wp:align>
          </wp:positionH>
          <wp:positionV relativeFrom="paragraph">
            <wp:posOffset>-452391</wp:posOffset>
          </wp:positionV>
          <wp:extent cx="7764088" cy="11874539"/>
          <wp:effectExtent l="0" t="0" r="8890" b="0"/>
          <wp:wrapNone/>
          <wp:docPr id="13" name="Imagen 13" descr="Imagen de la pantalla de un celular con letras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 13" descr="Imagen de la pantalla de un celular con letras&#10;&#10;Descripción generada automáticamente con confianza media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088" cy="11874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33D35">
      <w:rPr>
        <w:rFonts w:ascii="Calibri" w:eastAsia="Times New Roman" w:hAnsi="Calibri" w:cs="Calibri"/>
        <w:b/>
        <w:bCs/>
        <w:color w:val="FFFFFF"/>
        <w:sz w:val="22"/>
        <w:szCs w:val="22"/>
        <w:lang w:eastAsia="es-GT"/>
      </w:rPr>
      <w:t>R</w:t>
    </w:r>
  </w:p>
  <w:p w14:paraId="0B9E4893" w14:textId="2E7EFED3" w:rsidR="004219C9" w:rsidRDefault="004219C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EF7"/>
    <w:rsid w:val="00020295"/>
    <w:rsid w:val="00023730"/>
    <w:rsid w:val="00040707"/>
    <w:rsid w:val="000801FE"/>
    <w:rsid w:val="00093573"/>
    <w:rsid w:val="000C710C"/>
    <w:rsid w:val="000F2505"/>
    <w:rsid w:val="000F534E"/>
    <w:rsid w:val="00107513"/>
    <w:rsid w:val="00181A9D"/>
    <w:rsid w:val="001F5525"/>
    <w:rsid w:val="00207BEC"/>
    <w:rsid w:val="00265CD4"/>
    <w:rsid w:val="00276E7A"/>
    <w:rsid w:val="002E1CAE"/>
    <w:rsid w:val="002F78EE"/>
    <w:rsid w:val="00305B04"/>
    <w:rsid w:val="00307375"/>
    <w:rsid w:val="003073DD"/>
    <w:rsid w:val="00356D0F"/>
    <w:rsid w:val="00361C10"/>
    <w:rsid w:val="00392A2F"/>
    <w:rsid w:val="003B4629"/>
    <w:rsid w:val="003F065D"/>
    <w:rsid w:val="0040666B"/>
    <w:rsid w:val="004219C9"/>
    <w:rsid w:val="004657A3"/>
    <w:rsid w:val="0049102C"/>
    <w:rsid w:val="004A1A23"/>
    <w:rsid w:val="004B29A8"/>
    <w:rsid w:val="004C6BC8"/>
    <w:rsid w:val="004C7A0A"/>
    <w:rsid w:val="004D522B"/>
    <w:rsid w:val="004F3988"/>
    <w:rsid w:val="00542FE0"/>
    <w:rsid w:val="00575C25"/>
    <w:rsid w:val="00634262"/>
    <w:rsid w:val="00645A3F"/>
    <w:rsid w:val="006629FD"/>
    <w:rsid w:val="0067106D"/>
    <w:rsid w:val="006D2417"/>
    <w:rsid w:val="00700F6B"/>
    <w:rsid w:val="00794952"/>
    <w:rsid w:val="00796A81"/>
    <w:rsid w:val="007A4C7D"/>
    <w:rsid w:val="007E46D3"/>
    <w:rsid w:val="007E6645"/>
    <w:rsid w:val="008210B3"/>
    <w:rsid w:val="008A277E"/>
    <w:rsid w:val="009029B1"/>
    <w:rsid w:val="0092498C"/>
    <w:rsid w:val="00964D82"/>
    <w:rsid w:val="00982EFC"/>
    <w:rsid w:val="00985070"/>
    <w:rsid w:val="009E1965"/>
    <w:rsid w:val="009E713F"/>
    <w:rsid w:val="00A17BDD"/>
    <w:rsid w:val="00A817EE"/>
    <w:rsid w:val="00AC21B5"/>
    <w:rsid w:val="00AC4DBE"/>
    <w:rsid w:val="00B003BE"/>
    <w:rsid w:val="00B34F29"/>
    <w:rsid w:val="00B9407D"/>
    <w:rsid w:val="00BA7127"/>
    <w:rsid w:val="00BB4EF7"/>
    <w:rsid w:val="00BE5573"/>
    <w:rsid w:val="00BF3414"/>
    <w:rsid w:val="00C33BE5"/>
    <w:rsid w:val="00C551FA"/>
    <w:rsid w:val="00C63F5B"/>
    <w:rsid w:val="00D04D00"/>
    <w:rsid w:val="00D41B34"/>
    <w:rsid w:val="00DA41BE"/>
    <w:rsid w:val="00DC10C9"/>
    <w:rsid w:val="00E336BA"/>
    <w:rsid w:val="00E36A31"/>
    <w:rsid w:val="00E64A13"/>
    <w:rsid w:val="00EA2287"/>
    <w:rsid w:val="00ED0421"/>
    <w:rsid w:val="00ED675D"/>
    <w:rsid w:val="00EF4968"/>
    <w:rsid w:val="00F07DAC"/>
    <w:rsid w:val="00F1210E"/>
    <w:rsid w:val="00F241BA"/>
    <w:rsid w:val="00F33D35"/>
    <w:rsid w:val="00FA3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DB5848"/>
  <w15:docId w15:val="{04DBDADE-D694-4E6C-B4B5-39A78FDEE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0F534E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F534E"/>
    <w:rPr>
      <w:rFonts w:ascii="Times New Roman" w:eastAsia="Times New Roman" w:hAnsi="Times New Roman" w:cs="Times New Roman"/>
      <w:lang w:eastAsia="es-ES"/>
    </w:rPr>
  </w:style>
  <w:style w:type="paragraph" w:styleId="Sinespaciado">
    <w:name w:val="No Spacing"/>
    <w:uiPriority w:val="1"/>
    <w:qFormat/>
    <w:rsid w:val="00542F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stoledo\Documents\BKMGomez\Desktop\6.Unidad%20de%20Acceso%20a%20la%20Informaci&#243;n%20P&#250;blica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GT"/>
              <a:t>Pertenencia Sociolinguistica Dirección General de Transportes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370E-4CC1-A7CE-FF3FF9B29939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370E-4CC1-A7CE-FF3FF9B29939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370E-4CC1-A7CE-FF3FF9B29939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370E-4CC1-A7CE-FF3FF9B29939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370E-4CC1-A7CE-FF3FF9B29939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370E-4CC1-A7CE-FF3FF9B29939}"/>
              </c:ext>
            </c:extLst>
          </c:dPt>
          <c:dPt>
            <c:idx val="6"/>
            <c:bubble3D val="0"/>
            <c:spPr>
              <a:gradFill rotWithShape="1">
                <a:gsLst>
                  <a:gs pos="0">
                    <a:schemeClr val="accent1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370E-4CC1-A7CE-FF3FF9B29939}"/>
              </c:ext>
            </c:extLst>
          </c:dPt>
          <c:dPt>
            <c:idx val="7"/>
            <c:bubble3D val="0"/>
            <c:spPr>
              <a:gradFill rotWithShape="1">
                <a:gsLst>
                  <a:gs pos="0">
                    <a:schemeClr val="accent2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F-370E-4CC1-A7CE-FF3FF9B29939}"/>
              </c:ext>
            </c:extLst>
          </c:dPt>
          <c:dPt>
            <c:idx val="8"/>
            <c:bubble3D val="0"/>
            <c:spPr>
              <a:gradFill rotWithShape="1">
                <a:gsLst>
                  <a:gs pos="0">
                    <a:schemeClr val="accent3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1-370E-4CC1-A7CE-FF3FF9B29939}"/>
              </c:ext>
            </c:extLst>
          </c:dPt>
          <c:dPt>
            <c:idx val="9"/>
            <c:bubble3D val="0"/>
            <c:spPr>
              <a:gradFill rotWithShape="1">
                <a:gsLst>
                  <a:gs pos="0">
                    <a:schemeClr val="accent4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3-370E-4CC1-A7CE-FF3FF9B29939}"/>
              </c:ext>
            </c:extLst>
          </c:dPt>
          <c:dPt>
            <c:idx val="10"/>
            <c:bubble3D val="0"/>
            <c:spPr>
              <a:gradFill rotWithShape="1">
                <a:gsLst>
                  <a:gs pos="0">
                    <a:schemeClr val="accent5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5-370E-4CC1-A7CE-FF3FF9B29939}"/>
              </c:ext>
            </c:extLst>
          </c:dPt>
          <c:dPt>
            <c:idx val="11"/>
            <c:bubble3D val="0"/>
            <c:spPr>
              <a:gradFill rotWithShape="1">
                <a:gsLst>
                  <a:gs pos="0">
                    <a:schemeClr val="accent6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7-370E-4CC1-A7CE-FF3FF9B29939}"/>
              </c:ext>
            </c:extLst>
          </c:dPt>
          <c:dPt>
            <c:idx val="12"/>
            <c:bubble3D val="0"/>
            <c:spPr>
              <a:gradFill rotWithShape="1">
                <a:gsLst>
                  <a:gs pos="0">
                    <a:schemeClr val="accent1">
                      <a:lumMod val="80000"/>
                      <a:lumOff val="2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lumMod val="80000"/>
                      <a:lumOff val="2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80000"/>
                      <a:lumOff val="2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9-370E-4CC1-A7CE-FF3FF9B29939}"/>
              </c:ext>
            </c:extLst>
          </c:dPt>
          <c:dPt>
            <c:idx val="13"/>
            <c:bubble3D val="0"/>
            <c:spPr>
              <a:gradFill rotWithShape="1">
                <a:gsLst>
                  <a:gs pos="0">
                    <a:schemeClr val="accent2">
                      <a:lumMod val="80000"/>
                      <a:lumOff val="2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lumMod val="80000"/>
                      <a:lumOff val="2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80000"/>
                      <a:lumOff val="2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B-370E-4CC1-A7CE-FF3FF9B29939}"/>
              </c:ext>
            </c:extLst>
          </c:dPt>
          <c:dPt>
            <c:idx val="14"/>
            <c:bubble3D val="0"/>
            <c:spPr>
              <a:gradFill rotWithShape="1">
                <a:gsLst>
                  <a:gs pos="0">
                    <a:schemeClr val="accent3">
                      <a:lumMod val="80000"/>
                      <a:lumOff val="2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lumMod val="80000"/>
                      <a:lumOff val="2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80000"/>
                      <a:lumOff val="2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D-370E-4CC1-A7CE-FF3FF9B29939}"/>
              </c:ext>
            </c:extLst>
          </c:dPt>
          <c:dPt>
            <c:idx val="15"/>
            <c:bubble3D val="0"/>
            <c:spPr>
              <a:gradFill rotWithShape="1">
                <a:gsLst>
                  <a:gs pos="0">
                    <a:schemeClr val="accent4">
                      <a:lumMod val="80000"/>
                      <a:lumOff val="2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lumMod val="80000"/>
                      <a:lumOff val="2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80000"/>
                      <a:lumOff val="2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F-370E-4CC1-A7CE-FF3FF9B29939}"/>
              </c:ext>
            </c:extLst>
          </c:dPt>
          <c:dPt>
            <c:idx val="16"/>
            <c:bubble3D val="0"/>
            <c:spPr>
              <a:gradFill rotWithShape="1">
                <a:gsLst>
                  <a:gs pos="0">
                    <a:schemeClr val="accent5">
                      <a:lumMod val="80000"/>
                      <a:lumOff val="2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lumMod val="80000"/>
                      <a:lumOff val="2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80000"/>
                      <a:lumOff val="2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21-370E-4CC1-A7CE-FF3FF9B29939}"/>
              </c:ext>
            </c:extLst>
          </c:dPt>
          <c:dPt>
            <c:idx val="17"/>
            <c:bubble3D val="0"/>
            <c:spPr>
              <a:gradFill rotWithShape="1">
                <a:gsLst>
                  <a:gs pos="0">
                    <a:schemeClr val="accent6">
                      <a:lumMod val="80000"/>
                      <a:lumOff val="2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lumMod val="80000"/>
                      <a:lumOff val="2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80000"/>
                      <a:lumOff val="2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23-370E-4CC1-A7CE-FF3FF9B29939}"/>
              </c:ext>
            </c:extLst>
          </c:dPt>
          <c:dPt>
            <c:idx val="18"/>
            <c:bubble3D val="0"/>
            <c:spPr>
              <a:gradFill rotWithShape="1">
                <a:gsLst>
                  <a:gs pos="0">
                    <a:schemeClr val="accent1">
                      <a:lumMod val="8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lumMod val="8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8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25-370E-4CC1-A7CE-FF3FF9B29939}"/>
              </c:ext>
            </c:extLst>
          </c:dPt>
          <c:dPt>
            <c:idx val="19"/>
            <c:bubble3D val="0"/>
            <c:spPr>
              <a:gradFill rotWithShape="1">
                <a:gsLst>
                  <a:gs pos="0">
                    <a:schemeClr val="accent2">
                      <a:lumMod val="8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lumMod val="8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8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27-370E-4CC1-A7CE-FF3FF9B29939}"/>
              </c:ext>
            </c:extLst>
          </c:dPt>
          <c:dPt>
            <c:idx val="20"/>
            <c:bubble3D val="0"/>
            <c:spPr>
              <a:gradFill rotWithShape="1">
                <a:gsLst>
                  <a:gs pos="0">
                    <a:schemeClr val="accent3">
                      <a:lumMod val="8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lumMod val="8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8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29-370E-4CC1-A7CE-FF3FF9B29939}"/>
              </c:ext>
            </c:extLst>
          </c:dPt>
          <c:dPt>
            <c:idx val="21"/>
            <c:bubble3D val="0"/>
            <c:spPr>
              <a:gradFill rotWithShape="1">
                <a:gsLst>
                  <a:gs pos="0">
                    <a:schemeClr val="accent4">
                      <a:lumMod val="8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lumMod val="8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8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2B-370E-4CC1-A7CE-FF3FF9B29939}"/>
              </c:ext>
            </c:extLst>
          </c:dPt>
          <c:dPt>
            <c:idx val="22"/>
            <c:bubble3D val="0"/>
            <c:spPr>
              <a:gradFill rotWithShape="1">
                <a:gsLst>
                  <a:gs pos="0">
                    <a:schemeClr val="accent5">
                      <a:lumMod val="8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lumMod val="8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8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2D-370E-4CC1-A7CE-FF3FF9B29939}"/>
              </c:ext>
            </c:extLst>
          </c:dPt>
          <c:dPt>
            <c:idx val="23"/>
            <c:bubble3D val="0"/>
            <c:spPr>
              <a:gradFill rotWithShape="1">
                <a:gsLst>
                  <a:gs pos="0">
                    <a:schemeClr val="accent6">
                      <a:lumMod val="8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lumMod val="8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8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2F-370E-4CC1-A7CE-FF3FF9B29939}"/>
              </c:ext>
            </c:extLst>
          </c:dPt>
          <c:dPt>
            <c:idx val="24"/>
            <c:bubble3D val="0"/>
            <c:spPr>
              <a:gradFill rotWithShape="1">
                <a:gsLst>
                  <a:gs pos="0">
                    <a:schemeClr val="accent1">
                      <a:lumMod val="60000"/>
                      <a:lumOff val="4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lumMod val="60000"/>
                      <a:lumOff val="4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60000"/>
                      <a:lumOff val="4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31-370E-4CC1-A7CE-FF3FF9B29939}"/>
              </c:ext>
            </c:extLst>
          </c:dPt>
          <c:dPt>
            <c:idx val="25"/>
            <c:bubble3D val="0"/>
            <c:spPr>
              <a:gradFill rotWithShape="1">
                <a:gsLst>
                  <a:gs pos="0">
                    <a:schemeClr val="accent2">
                      <a:lumMod val="60000"/>
                      <a:lumOff val="4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lumMod val="60000"/>
                      <a:lumOff val="4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60000"/>
                      <a:lumOff val="4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33-370E-4CC1-A7CE-FF3FF9B29939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Hoja2!$A$2:$A$27</c:f>
              <c:strCache>
                <c:ptCount val="26"/>
                <c:pt idx="0">
                  <c:v>No idica</c:v>
                </c:pt>
                <c:pt idx="1">
                  <c:v>Otro</c:v>
                </c:pt>
                <c:pt idx="2">
                  <c:v>Castellano</c:v>
                </c:pt>
                <c:pt idx="3">
                  <c:v>Sakapulteko</c:v>
                </c:pt>
                <c:pt idx="4">
                  <c:v>Kaqchikel</c:v>
                </c:pt>
                <c:pt idx="5">
                  <c:v>Tz'utujil</c:v>
                </c:pt>
                <c:pt idx="6">
                  <c:v>Itza</c:v>
                </c:pt>
                <c:pt idx="7">
                  <c:v>Akateko</c:v>
                </c:pt>
                <c:pt idx="8">
                  <c:v>Uspanteko</c:v>
                </c:pt>
                <c:pt idx="9">
                  <c:v>Xinca</c:v>
                </c:pt>
                <c:pt idx="10">
                  <c:v>Poqoman</c:v>
                </c:pt>
                <c:pt idx="11">
                  <c:v>K'iche'</c:v>
                </c:pt>
                <c:pt idx="12">
                  <c:v>Ch'orti'</c:v>
                </c:pt>
                <c:pt idx="13">
                  <c:v>Garifuna</c:v>
                </c:pt>
                <c:pt idx="14">
                  <c:v>Achi</c:v>
                </c:pt>
                <c:pt idx="15">
                  <c:v>Q'echi'</c:v>
                </c:pt>
                <c:pt idx="16">
                  <c:v>Tektiteko</c:v>
                </c:pt>
                <c:pt idx="17">
                  <c:v>Ixil</c:v>
                </c:pt>
                <c:pt idx="18">
                  <c:v>Mopan</c:v>
                </c:pt>
                <c:pt idx="19">
                  <c:v>Chuj</c:v>
                </c:pt>
                <c:pt idx="20">
                  <c:v>Man</c:v>
                </c:pt>
                <c:pt idx="21">
                  <c:v>Q'ajob'al</c:v>
                </c:pt>
                <c:pt idx="22">
                  <c:v>Sipakapense</c:v>
                </c:pt>
                <c:pt idx="23">
                  <c:v>Poqomchi'</c:v>
                </c:pt>
                <c:pt idx="24">
                  <c:v>Awakateko</c:v>
                </c:pt>
                <c:pt idx="25">
                  <c:v>Jakalteco</c:v>
                </c:pt>
              </c:strCache>
            </c:strRef>
          </c:cat>
          <c:val>
            <c:numRef>
              <c:f>Hoja2!$B$2:$B$27</c:f>
              <c:numCache>
                <c:formatCode>General</c:formatCode>
                <c:ptCount val="26"/>
                <c:pt idx="0">
                  <c:v>0</c:v>
                </c:pt>
                <c:pt idx="1">
                  <c:v>0</c:v>
                </c:pt>
                <c:pt idx="2">
                  <c:v>11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  <c:pt idx="24">
                  <c:v>0</c:v>
                </c:pt>
                <c:pt idx="2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34-370E-4CC1-A7CE-FF3FF9B29939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544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Sarah Toledo</cp:lastModifiedBy>
  <cp:revision>7</cp:revision>
  <cp:lastPrinted>2020-10-09T17:26:00Z</cp:lastPrinted>
  <dcterms:created xsi:type="dcterms:W3CDTF">2021-06-11T17:37:00Z</dcterms:created>
  <dcterms:modified xsi:type="dcterms:W3CDTF">2022-04-05T15:13:00Z</dcterms:modified>
</cp:coreProperties>
</file>